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D5F" w:rsidRPr="005E3A91" w:rsidRDefault="00A94D5F" w:rsidP="00A94D5F">
      <w:pPr>
        <w:pStyle w:val="Tekstpodstawowy"/>
        <w:spacing w:line="240" w:lineRule="auto"/>
        <w:rPr>
          <w:b/>
          <w:szCs w:val="28"/>
        </w:rPr>
      </w:pPr>
      <w:bookmarkStart w:id="0" w:name="_GoBack"/>
      <w:bookmarkEnd w:id="0"/>
    </w:p>
    <w:p w:rsidR="00A94D5F" w:rsidRPr="005E3A91" w:rsidRDefault="00A94D5F" w:rsidP="00A94D5F">
      <w:pPr>
        <w:pStyle w:val="Tekstpodstawowy"/>
        <w:spacing w:line="240" w:lineRule="auto"/>
        <w:rPr>
          <w:b/>
          <w:szCs w:val="28"/>
        </w:rPr>
      </w:pPr>
      <w:r w:rsidRPr="005E3A91">
        <w:rPr>
          <w:b/>
          <w:szCs w:val="28"/>
        </w:rPr>
        <w:t>Załącznik 3</w:t>
      </w:r>
    </w:p>
    <w:p w:rsidR="00A94D5F" w:rsidRPr="005E3A91" w:rsidRDefault="00A94D5F" w:rsidP="00A94D5F">
      <w:pPr>
        <w:pStyle w:val="Nagwek"/>
        <w:pBdr>
          <w:bottom w:val="thickThinSmallGap" w:sz="24" w:space="1" w:color="622423"/>
        </w:pBdr>
        <w:jc w:val="both"/>
      </w:pPr>
      <w:r w:rsidRPr="005E3A91">
        <w:t>Kryteria wystawiania ocen zachowania  w Szkole Podstawowej nr 1 w Żninie</w:t>
      </w:r>
    </w:p>
    <w:p w:rsidR="00A94D5F" w:rsidRPr="005E3A91" w:rsidRDefault="00A94D5F" w:rsidP="00A94D5F">
      <w:pPr>
        <w:pStyle w:val="Tekstpodstawowy"/>
        <w:spacing w:line="240" w:lineRule="auto"/>
        <w:rPr>
          <w:b/>
          <w:i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5"/>
        <w:gridCol w:w="4517"/>
      </w:tblGrid>
      <w:tr w:rsidR="005E3A91" w:rsidRPr="005E3A91" w:rsidTr="00F03FD1">
        <w:tc>
          <w:tcPr>
            <w:tcW w:w="4606" w:type="dxa"/>
          </w:tcPr>
          <w:p w:rsidR="00A94D5F" w:rsidRPr="005E3A91" w:rsidRDefault="00A94D5F" w:rsidP="00F03FD1">
            <w:pPr>
              <w:jc w:val="both"/>
              <w:rPr>
                <w:b/>
              </w:rPr>
            </w:pPr>
            <w:r w:rsidRPr="005E3A91">
              <w:rPr>
                <w:b/>
              </w:rPr>
              <w:t>Słownie</w:t>
            </w:r>
          </w:p>
        </w:tc>
        <w:tc>
          <w:tcPr>
            <w:tcW w:w="4606" w:type="dxa"/>
          </w:tcPr>
          <w:p w:rsidR="00A94D5F" w:rsidRPr="005E3A91" w:rsidRDefault="00A94D5F" w:rsidP="00F03FD1">
            <w:pPr>
              <w:jc w:val="both"/>
              <w:rPr>
                <w:b/>
              </w:rPr>
            </w:pPr>
            <w:r w:rsidRPr="005E3A91">
              <w:rPr>
                <w:b/>
              </w:rPr>
              <w:t>punktowo</w:t>
            </w:r>
          </w:p>
        </w:tc>
      </w:tr>
      <w:tr w:rsidR="005E3A91" w:rsidRPr="005E3A91" w:rsidTr="00F03FD1"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WZOROWE</w:t>
            </w:r>
          </w:p>
        </w:tc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500 I WIĘCEJ</w:t>
            </w:r>
          </w:p>
        </w:tc>
      </w:tr>
      <w:tr w:rsidR="005E3A91" w:rsidRPr="005E3A91" w:rsidTr="00F03FD1"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BARDZO DOBRE</w:t>
            </w:r>
          </w:p>
        </w:tc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400 – 499</w:t>
            </w:r>
          </w:p>
        </w:tc>
      </w:tr>
      <w:tr w:rsidR="005E3A91" w:rsidRPr="005E3A91" w:rsidTr="00F03FD1"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DOBRE</w:t>
            </w:r>
          </w:p>
        </w:tc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300 – 399</w:t>
            </w:r>
          </w:p>
        </w:tc>
      </w:tr>
      <w:tr w:rsidR="005E3A91" w:rsidRPr="005E3A91" w:rsidTr="00F03FD1"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POPRAWNE</w:t>
            </w:r>
          </w:p>
        </w:tc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200 – 299</w:t>
            </w:r>
          </w:p>
        </w:tc>
      </w:tr>
      <w:tr w:rsidR="005E3A91" w:rsidRPr="005E3A91" w:rsidTr="00F03FD1"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NIEODPOWIEDNIE</w:t>
            </w:r>
          </w:p>
        </w:tc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100 – 199</w:t>
            </w:r>
          </w:p>
        </w:tc>
      </w:tr>
      <w:tr w:rsidR="00A94D5F" w:rsidRPr="005E3A91" w:rsidTr="00F03FD1"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NAGANNE</w:t>
            </w:r>
          </w:p>
        </w:tc>
        <w:tc>
          <w:tcPr>
            <w:tcW w:w="4606" w:type="dxa"/>
          </w:tcPr>
          <w:p w:rsidR="00A94D5F" w:rsidRPr="005E3A91" w:rsidRDefault="00A94D5F" w:rsidP="00F03FD1">
            <w:pPr>
              <w:jc w:val="both"/>
            </w:pPr>
            <w:r w:rsidRPr="005E3A91">
              <w:t>99 I MNIEJ</w:t>
            </w:r>
          </w:p>
        </w:tc>
      </w:tr>
    </w:tbl>
    <w:p w:rsidR="00A94D5F" w:rsidRPr="005E3A91" w:rsidRDefault="00A94D5F" w:rsidP="00A94D5F">
      <w:pPr>
        <w:jc w:val="both"/>
      </w:pPr>
    </w:p>
    <w:p w:rsidR="00A94D5F" w:rsidRPr="005E3A91" w:rsidRDefault="00A94D5F" w:rsidP="00A94D5F">
      <w:pPr>
        <w:jc w:val="both"/>
      </w:pPr>
    </w:p>
    <w:p w:rsidR="00A94D5F" w:rsidRPr="005E3A91" w:rsidRDefault="00A94D5F" w:rsidP="00A94D5F">
      <w:pPr>
        <w:jc w:val="both"/>
        <w:rPr>
          <w:b/>
        </w:rPr>
      </w:pPr>
      <w:r w:rsidRPr="005E3A91">
        <w:rPr>
          <w:b/>
        </w:rPr>
        <w:t>PUNKTACJA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148"/>
        <w:gridCol w:w="5248"/>
        <w:gridCol w:w="280"/>
        <w:gridCol w:w="1134"/>
        <w:gridCol w:w="116"/>
        <w:gridCol w:w="1550"/>
      </w:tblGrid>
      <w:tr w:rsidR="005E3A91" w:rsidRPr="005E3A91" w:rsidTr="00F03FD1">
        <w:tc>
          <w:tcPr>
            <w:tcW w:w="9145" w:type="dxa"/>
            <w:gridSpan w:val="7"/>
          </w:tcPr>
          <w:p w:rsidR="00A94D5F" w:rsidRPr="005E3A91" w:rsidRDefault="00A94D5F" w:rsidP="00F03FD1">
            <w:pPr>
              <w:jc w:val="both"/>
              <w:rPr>
                <w:b/>
                <w:i/>
              </w:rPr>
            </w:pPr>
            <w:r w:rsidRPr="005E3A91">
              <w:rPr>
                <w:b/>
                <w:i/>
              </w:rPr>
              <w:t>PUNKTY DODATNIE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center"/>
              <w:rPr>
                <w:b/>
              </w:rPr>
            </w:pPr>
            <w:r w:rsidRPr="005E3A91">
              <w:rPr>
                <w:b/>
              </w:rPr>
              <w:t>NR &amp;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center"/>
              <w:rPr>
                <w:b/>
              </w:rPr>
            </w:pPr>
            <w:r w:rsidRPr="005E3A91">
              <w:rPr>
                <w:b/>
              </w:rPr>
              <w:t>OPIS POSTAWY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center"/>
              <w:rPr>
                <w:b/>
              </w:rPr>
            </w:pPr>
            <w:r w:rsidRPr="005E3A91">
              <w:rPr>
                <w:b/>
              </w:rPr>
              <w:t>PUNKTY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center"/>
              <w:rPr>
                <w:b/>
              </w:rPr>
            </w:pPr>
            <w:r w:rsidRPr="005E3A91">
              <w:rPr>
                <w:b/>
              </w:rPr>
              <w:t>KTO WYSTAWIA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Udział w konkursie przedmiotowym I etap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20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2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Udział w konkursie przedmiotowym II etap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3.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Udział w konkursie przedmiotowym III etap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4.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Udział w konkursie szkolnym (w czasie lekcji – po lekcjach)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10 - 20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Funkcja w szkole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 xml:space="preserve">6. 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Funkcja w klasie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W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7.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 xml:space="preserve">Zawody sportowe 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do 50 w semestrze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8.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Pomoc podczas imprezy lub uroczystości klasowej, szkolnej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do 20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9.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Praca na rzecz klasy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W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Praca na rzecz szkoły, środowiska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do 20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11.</w:t>
            </w:r>
          </w:p>
        </w:tc>
        <w:tc>
          <w:tcPr>
            <w:tcW w:w="5248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Udział w akcjach i zbiórkach charytatywnych, np. zbierania nakrętek, baterii, maskotek, płyt CD, itp.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do 50 w semestrze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12.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 xml:space="preserve">Systematyczny udział w zajęciach pozalekcyjnych 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do 50 w semestrze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13.</w:t>
            </w:r>
          </w:p>
        </w:tc>
        <w:tc>
          <w:tcPr>
            <w:tcW w:w="5248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Systematyczne dyżury szkolne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do 50 w semestrze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Opiekun SU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14.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Reprezentowanie szkoły na zewnątrz (np. udział w uroczystościach państwowych, lokalnych)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15.</w:t>
            </w:r>
          </w:p>
        </w:tc>
        <w:tc>
          <w:tcPr>
            <w:tcW w:w="5248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Udział ucznia w projekcie edukacyjnym oraz zajęciach WDŻ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do 50 w semestrze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17.</w:t>
            </w:r>
          </w:p>
        </w:tc>
        <w:tc>
          <w:tcPr>
            <w:tcW w:w="5248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Premia od wychowawcy (np. stosowanie form grzecznościowych wobec pracowników, kolegów, szacunek dla osób dorosłych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do 30 w semestrze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W</w:t>
            </w:r>
          </w:p>
        </w:tc>
      </w:tr>
      <w:tr w:rsidR="005E3A91" w:rsidRPr="005E3A91" w:rsidTr="00F03FD1">
        <w:tc>
          <w:tcPr>
            <w:tcW w:w="817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18.</w:t>
            </w:r>
          </w:p>
        </w:tc>
        <w:tc>
          <w:tcPr>
            <w:tcW w:w="5248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Udział w wolontariacie (potwierdzony przez instytucję, opiekuna)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do 50 w semestrze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N/W/ opiekun wolontariatu</w:t>
            </w:r>
          </w:p>
        </w:tc>
      </w:tr>
      <w:tr w:rsidR="005E3A91" w:rsidRPr="005E3A91" w:rsidTr="00F03FD1">
        <w:tc>
          <w:tcPr>
            <w:tcW w:w="817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19.</w:t>
            </w:r>
          </w:p>
        </w:tc>
        <w:tc>
          <w:tcPr>
            <w:tcW w:w="5248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Za 100% frekwencję w semestrze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W</w:t>
            </w:r>
          </w:p>
        </w:tc>
      </w:tr>
      <w:tr w:rsidR="005E3A91" w:rsidRPr="005E3A91" w:rsidTr="00F03FD1">
        <w:tc>
          <w:tcPr>
            <w:tcW w:w="817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20.</w:t>
            </w:r>
          </w:p>
        </w:tc>
        <w:tc>
          <w:tcPr>
            <w:tcW w:w="5248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Czynny udział w organizowaniu życia szkoły (organizacja imprez, apeli szkolnych, przedstawień)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do 20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21.</w:t>
            </w:r>
          </w:p>
        </w:tc>
        <w:tc>
          <w:tcPr>
            <w:tcW w:w="5248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Wykonanie dodatkowych pomocy dydaktycznych</w:t>
            </w:r>
          </w:p>
        </w:tc>
        <w:tc>
          <w:tcPr>
            <w:tcW w:w="1414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20</w:t>
            </w:r>
          </w:p>
        </w:tc>
        <w:tc>
          <w:tcPr>
            <w:tcW w:w="1666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22.</w:t>
            </w: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  <w:r w:rsidRPr="005E3A91">
              <w:t>Strój szkolny apelowy</w:t>
            </w: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W</w:t>
            </w:r>
          </w:p>
        </w:tc>
      </w:tr>
      <w:tr w:rsidR="005E3A91" w:rsidRPr="005E3A91" w:rsidTr="00F03FD1">
        <w:tc>
          <w:tcPr>
            <w:tcW w:w="817" w:type="dxa"/>
            <w:gridSpan w:val="2"/>
          </w:tcPr>
          <w:p w:rsidR="00A94D5F" w:rsidRPr="005E3A91" w:rsidRDefault="00A94D5F" w:rsidP="00F03FD1">
            <w:pPr>
              <w:jc w:val="both"/>
            </w:pPr>
          </w:p>
        </w:tc>
        <w:tc>
          <w:tcPr>
            <w:tcW w:w="5248" w:type="dxa"/>
          </w:tcPr>
          <w:p w:rsidR="00A94D5F" w:rsidRPr="005E3A91" w:rsidRDefault="00A94D5F" w:rsidP="00F03FD1">
            <w:pPr>
              <w:jc w:val="both"/>
            </w:pPr>
          </w:p>
        </w:tc>
        <w:tc>
          <w:tcPr>
            <w:tcW w:w="1414" w:type="dxa"/>
            <w:gridSpan w:val="2"/>
          </w:tcPr>
          <w:p w:rsidR="00A94D5F" w:rsidRPr="005E3A91" w:rsidRDefault="00A94D5F" w:rsidP="00F03FD1">
            <w:pPr>
              <w:jc w:val="both"/>
            </w:pPr>
          </w:p>
        </w:tc>
        <w:tc>
          <w:tcPr>
            <w:tcW w:w="1666" w:type="dxa"/>
            <w:gridSpan w:val="2"/>
          </w:tcPr>
          <w:p w:rsidR="00A94D5F" w:rsidRPr="005E3A91" w:rsidRDefault="00A94D5F" w:rsidP="00F03FD1">
            <w:pPr>
              <w:jc w:val="both"/>
            </w:pPr>
          </w:p>
        </w:tc>
      </w:tr>
      <w:tr w:rsidR="005E3A91" w:rsidRPr="005E3A91" w:rsidTr="00F03FD1">
        <w:tc>
          <w:tcPr>
            <w:tcW w:w="9145" w:type="dxa"/>
            <w:gridSpan w:val="7"/>
          </w:tcPr>
          <w:p w:rsidR="00A94D5F" w:rsidRPr="005E3A91" w:rsidRDefault="00A94D5F" w:rsidP="00F03FD1">
            <w:pPr>
              <w:jc w:val="both"/>
              <w:rPr>
                <w:b/>
                <w:i/>
              </w:rPr>
            </w:pPr>
            <w:r w:rsidRPr="005E3A91">
              <w:rPr>
                <w:b/>
                <w:i/>
              </w:rPr>
              <w:lastRenderedPageBreak/>
              <w:t>PUNKTY UJEMNE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24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Częste nieprzygotowanie do lekcji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25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Przeszkadzanie na lekcjach (każda uwaga)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26.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Niewykonywanie poleceń nauczyciela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27.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Używanie wulgarnych słów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28.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Ubliżanie koledze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20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29.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Zaczepki słowne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30.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Jedzenie i picie na lekcji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31.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 xml:space="preserve">Niszczenie rzeczy innych osób, sprzętu, mebli, zabytków, itp. 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20 - 50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32.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Zaśmiecanie otoczenia/ brak reakcji na zaśmiecanie otoczenia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33.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Nieusprawiedliwione spóźnienie na lekcję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34.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Opuszczenie jednej lub kilku lekcji w ciągu jednego dnia bez usprawiedliwienia - wagary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10 - 30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W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35.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Wychodzenie poza teren szkoły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36.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Niewykonanie zobowiązania danego nauczycielowi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20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37.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Oszustwo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38.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Uchylony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39.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Uchylony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40.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Uchylony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41.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Uchylony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42.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 xml:space="preserve">Niedozwolone ozdoby. </w:t>
            </w:r>
            <w:r w:rsidRPr="005E3A91">
              <w:rPr>
                <w:i/>
              </w:rPr>
              <w:t>Uwaga: kolczyki u chłopców, ostro zakończone bransolety, ćwieki, tunele,  dużych rozmiarów kolczyki, a także te, w innych miejscach niż uszy, wisiory  u dziewcząt itp.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43.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 xml:space="preserve">Nieodpowiedni strój szkolny. </w:t>
            </w:r>
            <w:r w:rsidRPr="005E3A91">
              <w:rPr>
                <w:i/>
              </w:rPr>
              <w:t>Uwaga spodnie, bluzki, spódnica odsłaniające bieliznę osobistą, opuszczone spodnie, odkryte brzuchy, zbyt krótkie spodenki (szorty)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44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Żucie gumy na lekcji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45.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 xml:space="preserve">Aroganckie zachowanie wobec pracowników szkoły i innych osób w szkole i poza szkołą lub niestosowne zachowanie się w miejscach publicznych. </w:t>
            </w:r>
            <w:r w:rsidRPr="005E3A91">
              <w:rPr>
                <w:i/>
              </w:rPr>
              <w:t>Uwaga: w autobusie, na zawodach, podczas wycieczki, w kinie, teatrze, muzeum, kościele, w urzędach administracji itp.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46.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Używanie przemocy fizycznej i psychicznej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do 50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47.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Wyłudzanie pieniędzy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48.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Kradzież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49.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Palenie papierosów lub e-papierosów ich rozprowadzanie lub namawianie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50.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Picie alkoholu, jego rozprowadzanie lub zachęcanie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50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51.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Używanie lub rozprowadzanie narkotyków i innych środków odurzających i pobudzających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52.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Niedbanie o higienę osobistą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53.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Uchylanie się od bieżącego oceniania (sprawdziany, prace klasowe)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20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54.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Nieprzestrzeganie regulaminów pracowni informatycznej, przyrodniczej/chemicznej, biblioteki, świetlicy, sali gimnastycznej, orlika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</w:tcPr>
          <w:p w:rsidR="00A94D5F" w:rsidRPr="005E3A91" w:rsidRDefault="00A94D5F" w:rsidP="00F03FD1">
            <w:pPr>
              <w:jc w:val="both"/>
            </w:pPr>
            <w:r w:rsidRPr="005E3A91">
              <w:t>55.</w:t>
            </w:r>
          </w:p>
        </w:tc>
        <w:tc>
          <w:tcPr>
            <w:tcW w:w="5676" w:type="dxa"/>
            <w:gridSpan w:val="3"/>
          </w:tcPr>
          <w:p w:rsidR="00A94D5F" w:rsidRPr="005E3A91" w:rsidRDefault="00A94D5F" w:rsidP="00F03FD1">
            <w:pPr>
              <w:jc w:val="both"/>
            </w:pPr>
            <w:r w:rsidRPr="005E3A91">
              <w:t>Odpisywanie zadań domowych lub „ściąganie” na sprawdzianach. Uwaga: punkty otrzymuje ten, który odpisuje i ten, który świadomie dał odpisać</w:t>
            </w:r>
          </w:p>
        </w:tc>
        <w:tc>
          <w:tcPr>
            <w:tcW w:w="1250" w:type="dxa"/>
            <w:gridSpan w:val="2"/>
          </w:tcPr>
          <w:p w:rsidR="00A94D5F" w:rsidRPr="005E3A91" w:rsidRDefault="00A94D5F" w:rsidP="00F03FD1">
            <w:pPr>
              <w:jc w:val="both"/>
            </w:pPr>
            <w:r w:rsidRPr="005E3A91">
              <w:t>20</w:t>
            </w:r>
          </w:p>
        </w:tc>
        <w:tc>
          <w:tcPr>
            <w:tcW w:w="1550" w:type="dxa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lastRenderedPageBreak/>
              <w:t>56.</w:t>
            </w:r>
          </w:p>
        </w:tc>
        <w:tc>
          <w:tcPr>
            <w:tcW w:w="5676" w:type="dxa"/>
            <w:gridSpan w:val="3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 xml:space="preserve">Uchylony 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</w:p>
        </w:tc>
        <w:tc>
          <w:tcPr>
            <w:tcW w:w="1550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</w:p>
        </w:tc>
      </w:tr>
      <w:tr w:rsidR="005E3A91" w:rsidRPr="005E3A91" w:rsidTr="00F03FD1">
        <w:tc>
          <w:tcPr>
            <w:tcW w:w="669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57.</w:t>
            </w:r>
          </w:p>
        </w:tc>
        <w:tc>
          <w:tcPr>
            <w:tcW w:w="5676" w:type="dxa"/>
            <w:gridSpan w:val="3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Używanie telefonu komórkowego podczas zajęć lekcyjnych bez zgody nauczyciela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550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58.</w:t>
            </w:r>
          </w:p>
        </w:tc>
        <w:tc>
          <w:tcPr>
            <w:tcW w:w="5676" w:type="dxa"/>
            <w:gridSpan w:val="3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Używanie urządzeń multimedialnych podczas lekcji bez zgody nauczyciela (głośniki, słuchawki, kamery, aparaty fotograficzne, odtwarzacze muzyki, video, dyktafony)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30</w:t>
            </w:r>
          </w:p>
        </w:tc>
        <w:tc>
          <w:tcPr>
            <w:tcW w:w="1550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 xml:space="preserve">59. </w:t>
            </w:r>
          </w:p>
        </w:tc>
        <w:tc>
          <w:tcPr>
            <w:tcW w:w="5676" w:type="dxa"/>
            <w:gridSpan w:val="3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Brak stroju apelowego w ważnych dniach szkoły (święta państwowe, szkolne)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550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W</w:t>
            </w:r>
          </w:p>
        </w:tc>
      </w:tr>
      <w:tr w:rsidR="005E3A91" w:rsidRPr="005E3A91" w:rsidTr="00F03FD1">
        <w:tc>
          <w:tcPr>
            <w:tcW w:w="669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60</w:t>
            </w:r>
          </w:p>
        </w:tc>
        <w:tc>
          <w:tcPr>
            <w:tcW w:w="5676" w:type="dxa"/>
            <w:gridSpan w:val="3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Nieusprawiedliwiony brak udziału ucznia w projekcie edukacyjnym oraz zajęciach WDŻ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do 50 w semestrze</w:t>
            </w:r>
          </w:p>
        </w:tc>
        <w:tc>
          <w:tcPr>
            <w:tcW w:w="1550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N</w:t>
            </w:r>
          </w:p>
        </w:tc>
      </w:tr>
      <w:tr w:rsidR="005E3A91" w:rsidRPr="005E3A91" w:rsidTr="00F03FD1">
        <w:tc>
          <w:tcPr>
            <w:tcW w:w="669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61.</w:t>
            </w:r>
          </w:p>
        </w:tc>
        <w:tc>
          <w:tcPr>
            <w:tcW w:w="5676" w:type="dxa"/>
            <w:gridSpan w:val="3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Brak kultury osobistej w stosunku do pracowników szkoły ( nieużywanie zwrotów grzecznościowych)</w:t>
            </w:r>
          </w:p>
        </w:tc>
        <w:tc>
          <w:tcPr>
            <w:tcW w:w="1250" w:type="dxa"/>
            <w:gridSpan w:val="2"/>
            <w:shd w:val="clear" w:color="auto" w:fill="auto"/>
          </w:tcPr>
          <w:p w:rsidR="00A94D5F" w:rsidRPr="005E3A91" w:rsidRDefault="00A94D5F" w:rsidP="00F03FD1">
            <w:pPr>
              <w:jc w:val="both"/>
            </w:pPr>
            <w:r w:rsidRPr="005E3A91">
              <w:t>10</w:t>
            </w:r>
          </w:p>
        </w:tc>
        <w:tc>
          <w:tcPr>
            <w:tcW w:w="1550" w:type="dxa"/>
            <w:shd w:val="clear" w:color="auto" w:fill="auto"/>
          </w:tcPr>
          <w:p w:rsidR="00A94D5F" w:rsidRPr="005E3A91" w:rsidRDefault="00A94D5F" w:rsidP="00F03FD1">
            <w:pPr>
              <w:jc w:val="both"/>
            </w:pPr>
          </w:p>
        </w:tc>
      </w:tr>
    </w:tbl>
    <w:p w:rsidR="00A94D5F" w:rsidRPr="005E3A91" w:rsidRDefault="00A94D5F" w:rsidP="00A94D5F">
      <w:pPr>
        <w:jc w:val="both"/>
        <w:rPr>
          <w:b/>
        </w:rPr>
      </w:pPr>
      <w:r w:rsidRPr="005E3A91">
        <w:rPr>
          <w:b/>
        </w:rPr>
        <w:t>Poza tym ustala się: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t>Uczeń na początku każdego semestru otrzymuje „kredyt” w wysokości 350 punktów.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t xml:space="preserve">Ocena </w:t>
      </w:r>
      <w:proofErr w:type="spellStart"/>
      <w:r w:rsidRPr="005E3A91">
        <w:t>końcoworoczna</w:t>
      </w:r>
      <w:proofErr w:type="spellEnd"/>
      <w:r w:rsidRPr="005E3A91">
        <w:t xml:space="preserve"> jest wynikiem średniej arytmetycznej punktów uzyskanych w I </w:t>
      </w:r>
      <w:proofErr w:type="spellStart"/>
      <w:r w:rsidRPr="005E3A91">
        <w:t>i</w:t>
      </w:r>
      <w:proofErr w:type="spellEnd"/>
      <w:r w:rsidRPr="005E3A91">
        <w:t xml:space="preserve"> II semestrze.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t xml:space="preserve">Jeżeli uczeń spożywa alkohol, narkotyki lub inne środki odurzające, pali papierosy, e- papierosy lub inne wyroby tytoniowe lub namawia innych do spożywania używek w szkole, podczas wycieczki, biwaku czy innym miejscu poza szkołą lub dopuścił się czynu karalnego (wandalizmu, kradzieży, przemocy i in.), nie może uzyskać świadectwa z wyróżnieniem, nawet jeśli tak wynika z liczby uzyskanych przez niego punktów. Uczniowi zostanie obniżone sprawowanie do </w:t>
      </w:r>
      <w:r w:rsidRPr="005E3A91">
        <w:rPr>
          <w:b/>
        </w:rPr>
        <w:t>oceny nieodpowiedniej</w:t>
      </w:r>
      <w:r w:rsidRPr="005E3A91">
        <w:t>.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rPr>
          <w:b/>
        </w:rPr>
        <w:t>Ocenę wzorową</w:t>
      </w:r>
      <w:r w:rsidRPr="005E3A91">
        <w:t xml:space="preserve"> otrzymuje uczeń, który I w semestrze miał co najmniej bardzo dobrą ocenę z zachowania,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t xml:space="preserve">Podstawą do wystawienia </w:t>
      </w:r>
      <w:r w:rsidRPr="005E3A91">
        <w:rPr>
          <w:b/>
          <w:u w:val="single"/>
        </w:rPr>
        <w:t>oceny wzorowej</w:t>
      </w:r>
      <w:r w:rsidRPr="005E3A91">
        <w:t xml:space="preserve"> jest łączna suma 500 pkt lub więcej i nie posiadanie uwag negatywnych. Dopuszczalne są uwagi za drobne przewinienia (karane do -10 pkt. jednorazowo) do 25 pkt. w semestrze, a w kryterium oceny końcowo rocznej do 50 pkt. ujemnych,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t xml:space="preserve">Podstawą do wystawienia </w:t>
      </w:r>
      <w:r w:rsidRPr="005E3A91">
        <w:rPr>
          <w:b/>
          <w:u w:val="single"/>
        </w:rPr>
        <w:t>bardzo dobrej</w:t>
      </w:r>
      <w:r w:rsidRPr="005E3A91">
        <w:t xml:space="preserve"> jest łączna suma od 400 - 499 pkt. Dopuszczalna jest suma do 50 pkt. ujemnych w semestrze, a w kryterium oceny końcowo rocznej do 100 pkt. ujemnych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t xml:space="preserve">Podstawą do wystawienia </w:t>
      </w:r>
      <w:r w:rsidRPr="005E3A91">
        <w:rPr>
          <w:b/>
          <w:u w:val="single"/>
        </w:rPr>
        <w:t>dobrej</w:t>
      </w:r>
      <w:r w:rsidRPr="005E3A91">
        <w:t xml:space="preserve"> jest łączna suma od 300 - 399 pkt. Dopuszczalna jest suma do 100 pkt. ujemnych w semestrze, a w kryterium oceny końcowo rocznej do 200 pkt. ujemnych.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t>W razie nieuporządkowania stroju lub innych cech wyglądu zewnętrznego ucznia (punkt 43, 44) w ustalonym przez wychowawcę terminie, ocena z zachowania na koniec semestru zostaje obniżona o jeden stopień.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t>W sytuacjach nie objętych punktacją oraz w sprawach spornych decyzje podejmuje zespół wychowawców.</w:t>
      </w:r>
    </w:p>
    <w:p w:rsidR="00A94D5F" w:rsidRPr="005E3A91" w:rsidRDefault="00A94D5F" w:rsidP="00A94D5F">
      <w:pPr>
        <w:numPr>
          <w:ilvl w:val="0"/>
          <w:numId w:val="3"/>
        </w:numPr>
        <w:jc w:val="both"/>
      </w:pPr>
      <w:r w:rsidRPr="005E3A91">
        <w:t>Odpowiedzialność zbiorowa nie istnieje.</w:t>
      </w:r>
    </w:p>
    <w:p w:rsidR="00A94D5F" w:rsidRPr="005E3A91" w:rsidRDefault="00A94D5F" w:rsidP="00A94D5F">
      <w:pPr>
        <w:numPr>
          <w:ilvl w:val="0"/>
          <w:numId w:val="3"/>
        </w:numPr>
        <w:ind w:hanging="357"/>
        <w:jc w:val="both"/>
      </w:pPr>
      <w:r w:rsidRPr="005E3A91">
        <w:t>Tryb anulowania uwagi – ujemnych punktów:</w:t>
      </w:r>
    </w:p>
    <w:p w:rsidR="00A94D5F" w:rsidRPr="005E3A91" w:rsidRDefault="00A94D5F" w:rsidP="00A94D5F">
      <w:pPr>
        <w:pStyle w:val="Nagwek2"/>
        <w:numPr>
          <w:ilvl w:val="1"/>
          <w:numId w:val="2"/>
        </w:numPr>
        <w:spacing w:before="0" w:after="0"/>
        <w:ind w:hanging="357"/>
        <w:jc w:val="both"/>
        <w:rPr>
          <w:rFonts w:ascii="Times New Roman" w:hAnsi="Times New Roman"/>
          <w:b w:val="0"/>
          <w:i w:val="0"/>
          <w:sz w:val="24"/>
          <w:szCs w:val="24"/>
        </w:rPr>
      </w:pPr>
      <w:bookmarkStart w:id="1" w:name="_Toc272828976"/>
      <w:r w:rsidRPr="005E3A91">
        <w:rPr>
          <w:rFonts w:ascii="Times New Roman" w:hAnsi="Times New Roman"/>
          <w:b w:val="0"/>
          <w:i w:val="0"/>
          <w:sz w:val="24"/>
          <w:szCs w:val="24"/>
        </w:rPr>
        <w:t>uczeń stara się wyjaśnić problem z nauczycielem, który wpisał uwagę</w:t>
      </w:r>
      <w:bookmarkEnd w:id="1"/>
    </w:p>
    <w:p w:rsidR="00A94D5F" w:rsidRPr="005E3A91" w:rsidRDefault="00A94D5F" w:rsidP="00A94D5F">
      <w:pPr>
        <w:numPr>
          <w:ilvl w:val="1"/>
          <w:numId w:val="2"/>
        </w:numPr>
        <w:jc w:val="both"/>
      </w:pPr>
      <w:r w:rsidRPr="005E3A91">
        <w:t>jeśli rozmowa nie przyniosła oczekiwanych rezultatów, wówczas uczeń zwraca się z problemem do Przewodniczącego Samorządu Uczniowskiego</w:t>
      </w:r>
    </w:p>
    <w:p w:rsidR="00A94D5F" w:rsidRPr="005E3A91" w:rsidRDefault="00A94D5F" w:rsidP="00A94D5F">
      <w:pPr>
        <w:numPr>
          <w:ilvl w:val="1"/>
          <w:numId w:val="2"/>
        </w:numPr>
        <w:jc w:val="both"/>
      </w:pPr>
      <w:r w:rsidRPr="005E3A91">
        <w:t>Przewodniczący Samorządu Szkolnego zwraca się do Dyrektora Szkoły, który powołuje komisję w składzie: Dyrektor Szkoły, przewodniczący Samorządu Szkolnego, wychowawca, opiekun Samorządu Szkolnego, pedagog.</w:t>
      </w:r>
    </w:p>
    <w:p w:rsidR="00E9179D" w:rsidRPr="005E3A91" w:rsidRDefault="00A94D5F" w:rsidP="00A94D5F">
      <w:pPr>
        <w:numPr>
          <w:ilvl w:val="1"/>
          <w:numId w:val="2"/>
        </w:numPr>
        <w:jc w:val="both"/>
      </w:pPr>
      <w:r w:rsidRPr="005E3A91">
        <w:t>decyzja komisji jest ostateczna</w:t>
      </w:r>
    </w:p>
    <w:sectPr w:rsidR="00E9179D" w:rsidRPr="005E3A91" w:rsidSect="00A94D5F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20D2B"/>
    <w:multiLevelType w:val="multilevel"/>
    <w:tmpl w:val="D5E431C2"/>
    <w:numStyleLink w:val="Styl1"/>
  </w:abstractNum>
  <w:abstractNum w:abstractNumId="1" w15:restartNumberingAfterBreak="0">
    <w:nsid w:val="30A328DD"/>
    <w:multiLevelType w:val="multilevel"/>
    <w:tmpl w:val="A2A2CC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715B747D"/>
    <w:multiLevelType w:val="multilevel"/>
    <w:tmpl w:val="D5E431C2"/>
    <w:styleLink w:val="Styl1"/>
    <w:lvl w:ilvl="0">
      <w:start w:val="10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D5F"/>
    <w:rsid w:val="005E3A91"/>
    <w:rsid w:val="00A94D5F"/>
    <w:rsid w:val="00E9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5CE3E9-84CB-4698-B169-837CED952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4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4D5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A94D5F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Tekstpodstawowy">
    <w:name w:val="Body Text"/>
    <w:basedOn w:val="Normalny"/>
    <w:link w:val="TekstpodstawowyZnak"/>
    <w:rsid w:val="00A94D5F"/>
    <w:pPr>
      <w:spacing w:line="360" w:lineRule="auto"/>
      <w:jc w:val="both"/>
    </w:pPr>
    <w:rPr>
      <w:sz w:val="28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A94D5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A94D5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A94D5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Styl1">
    <w:name w:val="Styl1"/>
    <w:rsid w:val="00A94D5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954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adminsala9</dc:creator>
  <cp:keywords/>
  <dc:description/>
  <cp:lastModifiedBy>adminsala9</cp:lastModifiedBy>
  <cp:revision>3</cp:revision>
  <dcterms:created xsi:type="dcterms:W3CDTF">2021-09-16T07:47:00Z</dcterms:created>
  <dcterms:modified xsi:type="dcterms:W3CDTF">2021-09-30T12:35:00Z</dcterms:modified>
</cp:coreProperties>
</file>